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lang w:eastAsia="zh-CN"/>
        </w:rPr>
      </w:pPr>
      <w:bookmarkStart w:id="48" w:name="_GoBack"/>
      <w:bookmarkEnd w:id="48"/>
      <w:r>
        <w:rPr>
          <w:rFonts w:hint="eastAsia" w:ascii="黑体" w:hAnsi="黑体" w:eastAsia="黑体"/>
          <w:sz w:val="32"/>
          <w:szCs w:val="32"/>
          <w:lang w:eastAsia="zh-CN"/>
        </w:rPr>
        <w:t>县退役军人事务局</w:t>
      </w: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木垒哈萨克自治县退役军人事务局</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hAnsi="黑体" w:eastAsia="仿宋_GB2312" w:cs="宋体"/>
          <w:bCs/>
          <w:kern w:val="0"/>
          <w:sz w:val="32"/>
          <w:szCs w:val="32"/>
        </w:rPr>
        <w:t>负责退役军人思想政治、管理保障和安置优抚等工作；负责军队军转干部、复员干部、离休退休干部、退役士兵和无军籍退休退职职工的移交安置工作和自主择业、就业退役军人服务管理工作；组织实施退役军人教育培训工作，协调扶持退役军人和随军随调家属就业创业；负责伤病残退役军人服务管理和抚恤工作；负责拥军优属等工作</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木垒哈萨克自治县退役军人事务局2023年度，实有人数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lang w:val="zh-CN"/>
        </w:rPr>
        <w:t>办公室、</w:t>
      </w:r>
      <w:r>
        <w:rPr>
          <w:rFonts w:hint="eastAsia" w:ascii="仿宋_GB2312" w:hAnsi="仿宋_GB2312" w:eastAsia="仿宋_GB2312"/>
          <w:sz w:val="32"/>
        </w:rPr>
        <w:t>退役军人服务中心</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2023年度收入总计1,392.79万元，其中：本年收入合计1,392.79万元，使用非财政拨款结余0.00万元，年初结转和结余0.00万元。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2023年度支出总计1,392.79万元，其中：本年支出合计1,392.76万元，结余分配0.00万元，年末结转和结余0.03万元。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增加504.46万元</w:t>
      </w:r>
      <w:r>
        <w:rPr>
          <w:rFonts w:hint="eastAsia" w:ascii="仿宋_GB2312" w:eastAsia="仿宋_GB2312"/>
          <w:sz w:val="32"/>
          <w:szCs w:val="32"/>
        </w:rPr>
        <w:t>，增长56.79%，主要原因是：增加了军转干部医疗费、退役士兵一次性经济补助、地方伤残补助、立功受奖送喜报、</w:t>
      </w:r>
      <w:r>
        <w:rPr>
          <w:rFonts w:hint="eastAsia" w:eastAsia="仿宋_GB2312"/>
          <w:sz w:val="32"/>
          <w:szCs w:val="32"/>
          <w:lang w:val="zh-CN"/>
        </w:rPr>
        <w:t>人民英雄纪念碑</w:t>
      </w:r>
      <w:r>
        <w:rPr>
          <w:rFonts w:hint="eastAsia" w:ascii="仿宋_GB2312" w:eastAsia="仿宋_GB2312"/>
          <w:sz w:val="32"/>
          <w:szCs w:val="32"/>
        </w:rPr>
        <w:t>等项目经费。</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本年收入1,392.79万元，其中：财政拨款收入</w:t>
      </w:r>
      <w:r>
        <w:rPr>
          <w:rFonts w:hint="eastAsia" w:ascii="仿宋_GB2312" w:eastAsia="仿宋_GB2312"/>
          <w:sz w:val="32"/>
          <w:szCs w:val="32"/>
          <w:lang w:val="zh-CN"/>
        </w:rPr>
        <w:t>1,392.76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0.03</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本年支出1,392.76万元，其中：基本支出134.60万元，占9.66%；项目支出1,258.16万元，占90.34%；上缴上级支出0.00万元，占0.00%；经营支出0.00万元，占0.00%；对附属单位补助支出0.00万元，占0.00%。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1,392.76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1,392.76</w:t>
      </w:r>
      <w:r>
        <w:rPr>
          <w:rFonts w:hint="eastAsia" w:ascii="仿宋_GB2312" w:eastAsia="仿宋_GB2312"/>
          <w:sz w:val="32"/>
          <w:szCs w:val="32"/>
        </w:rPr>
        <w:t>万元。财政拨款支出总计</w:t>
      </w:r>
      <w:r>
        <w:rPr>
          <w:rFonts w:hint="eastAsia" w:ascii="仿宋_GB2312" w:eastAsia="仿宋_GB2312"/>
          <w:sz w:val="32"/>
          <w:szCs w:val="32"/>
          <w:lang w:val="zh-CN"/>
        </w:rPr>
        <w:t>1,392.76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1,392.76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增加504.43万元</w:t>
      </w:r>
      <w:r>
        <w:rPr>
          <w:rFonts w:hint="eastAsia" w:ascii="仿宋_GB2312" w:eastAsia="仿宋_GB2312"/>
          <w:sz w:val="32"/>
          <w:szCs w:val="32"/>
        </w:rPr>
        <w:t>，增长56.78%,主要原因是：增加了军转干部医疗费、退役士兵一次性经济补助、地方伤残补助、立功受奖送喜报、</w:t>
      </w:r>
      <w:r>
        <w:rPr>
          <w:rFonts w:hint="eastAsia" w:eastAsia="仿宋_GB2312"/>
          <w:sz w:val="32"/>
          <w:szCs w:val="32"/>
          <w:lang w:val="zh-CN"/>
        </w:rPr>
        <w:t>人民英雄纪念碑</w:t>
      </w:r>
      <w:r>
        <w:rPr>
          <w:rFonts w:hint="eastAsia" w:ascii="仿宋_GB2312" w:eastAsia="仿宋_GB2312"/>
          <w:sz w:val="32"/>
          <w:szCs w:val="32"/>
        </w:rPr>
        <w:t>等项目经费。与年初预算相比，年初预算数</w:t>
      </w:r>
      <w:r>
        <w:rPr>
          <w:rFonts w:hint="eastAsia" w:ascii="仿宋_GB2312" w:eastAsia="仿宋_GB2312"/>
          <w:sz w:val="32"/>
          <w:szCs w:val="32"/>
          <w:lang w:val="zh-CN"/>
        </w:rPr>
        <w:t>668.00</w:t>
      </w:r>
      <w:r>
        <w:rPr>
          <w:rFonts w:hint="eastAsia" w:ascii="仿宋_GB2312" w:eastAsia="仿宋_GB2312"/>
          <w:sz w:val="32"/>
          <w:szCs w:val="32"/>
        </w:rPr>
        <w:t>万元，决算数</w:t>
      </w:r>
      <w:r>
        <w:rPr>
          <w:rFonts w:hint="eastAsia" w:ascii="仿宋_GB2312" w:eastAsia="仿宋_GB2312"/>
          <w:sz w:val="32"/>
          <w:szCs w:val="32"/>
          <w:lang w:val="zh-CN"/>
        </w:rPr>
        <w:t>1,392.76</w:t>
      </w:r>
      <w:r>
        <w:rPr>
          <w:rFonts w:hint="eastAsia" w:ascii="仿宋_GB2312" w:eastAsia="仿宋_GB2312"/>
          <w:sz w:val="32"/>
          <w:szCs w:val="32"/>
        </w:rPr>
        <w:t>万元，预决算差异率108.50%，主要原因是：</w:t>
      </w:r>
      <w:r>
        <w:rPr>
          <w:rFonts w:hint="eastAsia" w:ascii="仿宋_GB2312" w:eastAsia="仿宋_GB2312"/>
          <w:sz w:val="32"/>
          <w:szCs w:val="32"/>
          <w:lang w:val="en-US" w:eastAsia="zh-CN"/>
        </w:rPr>
        <w:t>年中</w:t>
      </w:r>
      <w:r>
        <w:rPr>
          <w:rFonts w:hint="eastAsia" w:ascii="仿宋_GB2312" w:eastAsia="仿宋_GB2312"/>
          <w:sz w:val="32"/>
          <w:szCs w:val="32"/>
        </w:rPr>
        <w:t>追加军转干部医疗费、退役士兵一次性经济补助、地方伤残补助、立功受奖送喜报、</w:t>
      </w:r>
      <w:r>
        <w:rPr>
          <w:rFonts w:hint="eastAsia" w:eastAsia="仿宋_GB2312"/>
          <w:sz w:val="32"/>
          <w:szCs w:val="32"/>
          <w:lang w:val="zh-CN"/>
        </w:rPr>
        <w:t>人民英雄纪念碑项目</w:t>
      </w:r>
      <w:r>
        <w:rPr>
          <w:rFonts w:hint="eastAsia" w:ascii="仿宋_GB2312" w:eastAsia="仿宋_GB2312"/>
          <w:sz w:val="32"/>
          <w:szCs w:val="32"/>
        </w:rPr>
        <w:t>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2023年度一般公共预算财政拨款支出1,392.76万元，占本年支出合计的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增加504.43万元</w:t>
      </w:r>
      <w:r>
        <w:rPr>
          <w:rFonts w:hint="eastAsia" w:ascii="仿宋_GB2312" w:eastAsia="仿宋_GB2312"/>
          <w:sz w:val="32"/>
          <w:szCs w:val="32"/>
        </w:rPr>
        <w:t>，增长56.78%,主要原因是：增加了军转干部医疗费、退役士兵一次性经济补助、地方伤残补助、立功受奖送喜报、</w:t>
      </w:r>
      <w:r>
        <w:rPr>
          <w:rFonts w:hint="eastAsia" w:eastAsia="仿宋_GB2312"/>
          <w:sz w:val="32"/>
          <w:szCs w:val="32"/>
          <w:lang w:val="zh-CN"/>
        </w:rPr>
        <w:t>人民英雄纪念碑等</w:t>
      </w:r>
      <w:r>
        <w:rPr>
          <w:rFonts w:hint="eastAsia" w:ascii="仿宋_GB2312" w:eastAsia="仿宋_GB2312"/>
          <w:sz w:val="32"/>
          <w:szCs w:val="32"/>
        </w:rPr>
        <w:t>项目经费。与年初预算相比，年初预算数</w:t>
      </w:r>
      <w:r>
        <w:rPr>
          <w:rFonts w:hint="eastAsia" w:ascii="仿宋_GB2312" w:eastAsia="仿宋_GB2312"/>
          <w:sz w:val="32"/>
          <w:szCs w:val="32"/>
          <w:lang w:val="zh-CN"/>
        </w:rPr>
        <w:t>668.00</w:t>
      </w:r>
      <w:r>
        <w:rPr>
          <w:rFonts w:hint="eastAsia" w:ascii="仿宋_GB2312" w:eastAsia="仿宋_GB2312"/>
          <w:sz w:val="32"/>
          <w:szCs w:val="32"/>
        </w:rPr>
        <w:t>万元，决算数</w:t>
      </w:r>
      <w:r>
        <w:rPr>
          <w:rFonts w:hint="eastAsia" w:ascii="仿宋_GB2312" w:eastAsia="仿宋_GB2312"/>
          <w:sz w:val="32"/>
          <w:szCs w:val="32"/>
          <w:lang w:val="zh-CN"/>
        </w:rPr>
        <w:t>1,392.76</w:t>
      </w:r>
      <w:r>
        <w:rPr>
          <w:rFonts w:hint="eastAsia" w:ascii="仿宋_GB2312" w:eastAsia="仿宋_GB2312"/>
          <w:sz w:val="32"/>
          <w:szCs w:val="32"/>
        </w:rPr>
        <w:t>万元，预决算差异率</w:t>
      </w:r>
      <w:r>
        <w:rPr>
          <w:rFonts w:hint="eastAsia" w:ascii="仿宋_GB2312" w:eastAsia="仿宋_GB2312"/>
          <w:sz w:val="32"/>
          <w:szCs w:val="32"/>
          <w:lang w:val="zh-CN"/>
        </w:rPr>
        <w:t>108.50%</w:t>
      </w:r>
      <w:r>
        <w:rPr>
          <w:rFonts w:hint="eastAsia" w:ascii="仿宋_GB2312" w:eastAsia="仿宋_GB2312"/>
          <w:sz w:val="32"/>
          <w:szCs w:val="32"/>
        </w:rPr>
        <w:t>，主要原因是：</w:t>
      </w:r>
      <w:r>
        <w:rPr>
          <w:rFonts w:hint="eastAsia" w:ascii="仿宋_GB2312" w:eastAsia="仿宋_GB2312"/>
          <w:sz w:val="32"/>
          <w:szCs w:val="32"/>
          <w:lang w:val="en-US" w:eastAsia="zh-CN"/>
        </w:rPr>
        <w:t>年中</w:t>
      </w:r>
      <w:r>
        <w:rPr>
          <w:rFonts w:hint="eastAsia" w:ascii="仿宋_GB2312" w:eastAsia="仿宋_GB2312"/>
          <w:sz w:val="32"/>
          <w:szCs w:val="32"/>
        </w:rPr>
        <w:t>追加军转干部医疗费、退役士兵一次性经济补助、地方伤残补助、立功受奖送喜报、</w:t>
      </w:r>
      <w:r>
        <w:rPr>
          <w:rFonts w:hint="eastAsia" w:eastAsia="仿宋_GB2312"/>
          <w:sz w:val="32"/>
          <w:szCs w:val="32"/>
          <w:lang w:val="zh-CN"/>
        </w:rPr>
        <w:t>人民英雄纪念碑项目</w:t>
      </w:r>
      <w:r>
        <w:rPr>
          <w:rFonts w:hint="eastAsia" w:ascii="仿宋_GB2312" w:eastAsia="仿宋_GB2312"/>
          <w:sz w:val="32"/>
          <w:szCs w:val="32"/>
        </w:rPr>
        <w:t>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1,377.38</w:t>
      </w:r>
      <w:r>
        <w:rPr>
          <w:rFonts w:ascii="仿宋_GB2312" w:eastAsia="仿宋_GB2312"/>
          <w:kern w:val="2"/>
          <w:sz w:val="32"/>
          <w:szCs w:val="32"/>
          <w:lang w:val="zh-CN"/>
        </w:rPr>
        <w:t>万元，占</w:t>
      </w:r>
      <w:r>
        <w:rPr>
          <w:rFonts w:hint="eastAsia" w:ascii="仿宋_GB2312" w:eastAsia="仿宋_GB2312"/>
          <w:kern w:val="2"/>
          <w:sz w:val="32"/>
          <w:szCs w:val="32"/>
          <w:lang w:val="zh-CN"/>
        </w:rPr>
        <w:t>98.90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1.00</w:t>
      </w:r>
      <w:r>
        <w:rPr>
          <w:rFonts w:ascii="仿宋_GB2312" w:eastAsia="仿宋_GB2312"/>
          <w:kern w:val="2"/>
          <w:sz w:val="32"/>
          <w:szCs w:val="32"/>
          <w:lang w:val="zh-CN"/>
        </w:rPr>
        <w:t>万元，占</w:t>
      </w:r>
      <w:r>
        <w:rPr>
          <w:rFonts w:hint="eastAsia" w:ascii="仿宋_GB2312" w:eastAsia="仿宋_GB2312"/>
          <w:kern w:val="2"/>
          <w:sz w:val="32"/>
          <w:szCs w:val="32"/>
          <w:lang w:val="zh-CN"/>
        </w:rPr>
        <w:t>0.07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9.38</w:t>
      </w:r>
      <w:r>
        <w:rPr>
          <w:rFonts w:ascii="仿宋_GB2312" w:eastAsia="仿宋_GB2312"/>
          <w:kern w:val="2"/>
          <w:sz w:val="32"/>
          <w:szCs w:val="32"/>
          <w:lang w:val="zh-CN"/>
        </w:rPr>
        <w:t>万元，占</w:t>
      </w:r>
      <w:r>
        <w:rPr>
          <w:rFonts w:hint="eastAsia" w:ascii="仿宋_GB2312" w:eastAsia="仿宋_GB2312"/>
          <w:kern w:val="2"/>
          <w:sz w:val="32"/>
          <w:szCs w:val="32"/>
          <w:lang w:val="zh-CN"/>
        </w:rPr>
        <w:t>0.67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5.00</w:t>
      </w:r>
      <w:r>
        <w:rPr>
          <w:rFonts w:ascii="仿宋_GB2312" w:eastAsia="仿宋_GB2312"/>
          <w:kern w:val="2"/>
          <w:sz w:val="32"/>
          <w:szCs w:val="32"/>
          <w:lang w:val="zh-CN"/>
        </w:rPr>
        <w:t>万元，占</w:t>
      </w:r>
      <w:r>
        <w:rPr>
          <w:rFonts w:hint="eastAsia" w:ascii="仿宋_GB2312" w:eastAsia="仿宋_GB2312"/>
          <w:kern w:val="2"/>
          <w:sz w:val="32"/>
          <w:szCs w:val="32"/>
          <w:lang w:val="zh-CN"/>
        </w:rPr>
        <w:t>0.36</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1.社会保障和就业支出（类）抚恤（款）烈士纪念设施管理维护（项）:支出决算数为157.00万元，比上年决算增加142.00万元，增长946.</w:t>
      </w:r>
      <w:r>
        <w:rPr>
          <w:rFonts w:hint="eastAsia" w:ascii="仿宋_GB2312" w:eastAsia="仿宋_GB2312"/>
          <w:sz w:val="32"/>
          <w:szCs w:val="32"/>
          <w:lang w:val="en-US" w:eastAsia="zh-CN"/>
        </w:rPr>
        <w:t>67</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增加人民英雄纪念碑项目经费。</w:t>
      </w:r>
    </w:p>
    <w:p>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2.社会保障和就业支出（类）退役安置（款）军队转业干部安置（项）:支出决算数为105.92万元，比上年决算减少2.2</w:t>
      </w:r>
      <w:r>
        <w:rPr>
          <w:rFonts w:hint="eastAsia" w:ascii="仿宋_GB2312" w:eastAsia="仿宋_GB2312"/>
          <w:sz w:val="32"/>
          <w:szCs w:val="32"/>
          <w:lang w:val="en-US" w:eastAsia="zh-CN"/>
        </w:rPr>
        <w:t>8</w:t>
      </w:r>
      <w:r>
        <w:rPr>
          <w:rFonts w:hint="eastAsia" w:ascii="仿宋_GB2312" w:eastAsia="仿宋_GB2312"/>
          <w:sz w:val="32"/>
          <w:szCs w:val="32"/>
        </w:rPr>
        <w:t>万元，下降2.11%，主要原因是：单位本年军转干部生活费、服务管理费减少。</w:t>
      </w:r>
    </w:p>
    <w:p>
      <w:pPr>
        <w:ind w:firstLine="640" w:firstLineChars="200"/>
        <w:jc w:val="left"/>
        <w:rPr>
          <w:rFonts w:ascii="仿宋_GB2312" w:eastAsia="仿宋_GB2312"/>
          <w:sz w:val="32"/>
          <w:szCs w:val="32"/>
        </w:rPr>
      </w:pPr>
      <w:r>
        <w:rPr>
          <w:rFonts w:hint="eastAsia" w:ascii="仿宋_GB2312" w:eastAsia="仿宋_GB2312"/>
          <w:sz w:val="32"/>
          <w:szCs w:val="32"/>
        </w:rPr>
        <w:t>3.卫生健康支出（类）优抚对象医疗（款）其他优抚对象医疗支出（项）:支出决算数为1.00万元，比上年决算增加0.37万元，增长58.73%，主要原因是：本年优抚对象医疗保障项目经费增加。</w:t>
      </w:r>
    </w:p>
    <w:p>
      <w:pPr>
        <w:ind w:firstLine="640" w:firstLineChars="200"/>
        <w:jc w:val="left"/>
        <w:rPr>
          <w:rFonts w:ascii="仿宋_GB2312" w:eastAsia="仿宋_GB2312"/>
          <w:sz w:val="32"/>
          <w:szCs w:val="32"/>
        </w:rPr>
      </w:pPr>
      <w:r>
        <w:rPr>
          <w:rFonts w:hint="eastAsia" w:ascii="仿宋_GB2312" w:eastAsia="仿宋_GB2312"/>
          <w:sz w:val="32"/>
          <w:szCs w:val="32"/>
        </w:rPr>
        <w:t>4.住房保障支出（类）住房改革支出（款）住房公积金（项）:支出决算数为9.38万元，比上年决算增加0.87万元，增长10.</w:t>
      </w:r>
      <w:r>
        <w:rPr>
          <w:rFonts w:hint="eastAsia" w:ascii="仿宋_GB2312" w:eastAsia="仿宋_GB2312"/>
          <w:sz w:val="32"/>
          <w:szCs w:val="32"/>
          <w:lang w:val="en-US" w:eastAsia="zh-CN"/>
        </w:rPr>
        <w:t>35</w:t>
      </w:r>
      <w:r>
        <w:rPr>
          <w:rFonts w:hint="eastAsia" w:ascii="仿宋_GB2312" w:eastAsia="仿宋_GB2312"/>
          <w:sz w:val="32"/>
          <w:szCs w:val="32"/>
        </w:rPr>
        <w:t>%，主要原因是：单位本年人员增加，相应人员公积金缴费增加。</w:t>
      </w:r>
    </w:p>
    <w:p>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5.社会保障和就业支出（类）抚恤（款）死亡抚恤（项）:支出决算数为30.92万元，比上年决算增加30.92万元，增长100%，主要原因是：军休干部王万福去世，本年一次性死亡抚恤金增加。</w:t>
      </w:r>
    </w:p>
    <w:p>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6.社会保障和就业支出（类）退役安置（款）退役士兵安置（项）:支出决算数为108.28万元，比上年决算增加68.55万元，增长172.</w:t>
      </w:r>
      <w:r>
        <w:rPr>
          <w:rFonts w:hint="eastAsia" w:ascii="仿宋_GB2312" w:eastAsia="仿宋_GB2312"/>
          <w:sz w:val="32"/>
          <w:szCs w:val="32"/>
          <w:lang w:val="en-US" w:eastAsia="zh-CN"/>
        </w:rPr>
        <w:t>54</w:t>
      </w:r>
      <w:r>
        <w:rPr>
          <w:rFonts w:hint="eastAsia" w:ascii="仿宋_GB2312" w:eastAsia="仿宋_GB2312"/>
          <w:sz w:val="32"/>
          <w:szCs w:val="32"/>
        </w:rPr>
        <w:t>%，主要原因是：退役士兵一次性经济补助金增加。</w:t>
      </w:r>
    </w:p>
    <w:p>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7.社会保障和就业支出（类）退役军人管理事务（款）拥军优属（项）:支出决算数为39.19万元，比上年决算增加29.9</w:t>
      </w:r>
      <w:r>
        <w:rPr>
          <w:rFonts w:hint="eastAsia" w:ascii="仿宋_GB2312" w:eastAsia="仿宋_GB2312"/>
          <w:sz w:val="32"/>
          <w:szCs w:val="32"/>
          <w:lang w:val="en-US" w:eastAsia="zh-CN"/>
        </w:rPr>
        <w:t>8</w:t>
      </w:r>
      <w:r>
        <w:rPr>
          <w:rFonts w:hint="eastAsia" w:ascii="仿宋_GB2312" w:eastAsia="仿宋_GB2312"/>
          <w:sz w:val="32"/>
          <w:szCs w:val="32"/>
        </w:rPr>
        <w:t>万元，增长325.</w:t>
      </w:r>
      <w:r>
        <w:rPr>
          <w:rFonts w:hint="eastAsia" w:ascii="仿宋_GB2312" w:eastAsia="仿宋_GB2312"/>
          <w:sz w:val="32"/>
          <w:szCs w:val="32"/>
          <w:lang w:val="en-US" w:eastAsia="zh-CN"/>
        </w:rPr>
        <w:t>52</w:t>
      </w:r>
      <w:r>
        <w:rPr>
          <w:rFonts w:hint="eastAsia" w:ascii="仿宋_GB2312" w:eastAsia="仿宋_GB2312"/>
          <w:sz w:val="32"/>
          <w:szCs w:val="32"/>
        </w:rPr>
        <w:t>%，主要原因是：2023年春节、八·一两节慰问费增加。</w:t>
      </w:r>
    </w:p>
    <w:p>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8.社会保障和就业支出（类）抚恤（款）其他优抚支出（项）:支出决算数为465.42万元，比上年决算增加34.45万元，增长7.99%，主要原因是：优抚对象人数增加，优抚对象生活补助费增加。</w:t>
      </w:r>
    </w:p>
    <w:p>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9.社会保障和就业支出（类）抚恤（款）义务兵优待（项）:支出决算数为171.00万元，比上年决算增加64.31万元，增长60.28%，主要原因是：义务兵人数增加，义务兵优待金增加。</w:t>
      </w:r>
    </w:p>
    <w:p>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10.社会保障和就业支出（类）退役军人管理事务（款）行政运行（项）:支出决算数为106.45万元，比上年决算减少2.1</w:t>
      </w:r>
      <w:r>
        <w:rPr>
          <w:rFonts w:hint="eastAsia" w:ascii="仿宋_GB2312" w:eastAsia="仿宋_GB2312"/>
          <w:sz w:val="32"/>
          <w:szCs w:val="32"/>
          <w:lang w:val="en-US" w:eastAsia="zh-CN"/>
        </w:rPr>
        <w:t>0</w:t>
      </w:r>
      <w:r>
        <w:rPr>
          <w:rFonts w:hint="eastAsia" w:ascii="仿宋_GB2312" w:eastAsia="仿宋_GB2312"/>
          <w:sz w:val="32"/>
          <w:szCs w:val="32"/>
        </w:rPr>
        <w:t>万元，下降1.9</w:t>
      </w:r>
      <w:r>
        <w:rPr>
          <w:rFonts w:hint="eastAsia" w:ascii="仿宋_GB2312" w:eastAsia="仿宋_GB2312"/>
          <w:sz w:val="32"/>
          <w:szCs w:val="32"/>
          <w:lang w:val="en-US" w:eastAsia="zh-CN"/>
        </w:rPr>
        <w:t>3</w:t>
      </w:r>
      <w:r>
        <w:rPr>
          <w:rFonts w:hint="eastAsia" w:ascii="仿宋_GB2312" w:eastAsia="仿宋_GB2312"/>
          <w:sz w:val="32"/>
          <w:szCs w:val="32"/>
        </w:rPr>
        <w:t>%，主要原因是：单位本年人员绩效工资补助较上年减少。</w:t>
      </w:r>
    </w:p>
    <w:p>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11.社会保障和就业支出（类）行政事业单位养老支出（款）机关事业单位基本养老保险缴费支出（项）:支出决算数为12.02万元，比上年决算增加1.05万元，增长9.</w:t>
      </w:r>
      <w:r>
        <w:rPr>
          <w:rFonts w:hint="eastAsia" w:ascii="仿宋_GB2312" w:eastAsia="仿宋_GB2312"/>
          <w:sz w:val="32"/>
          <w:szCs w:val="32"/>
          <w:lang w:val="en-US" w:eastAsia="zh-CN"/>
        </w:rPr>
        <w:t>57</w:t>
      </w:r>
      <w:r>
        <w:rPr>
          <w:rFonts w:hint="eastAsia" w:ascii="仿宋_GB2312" w:eastAsia="仿宋_GB2312"/>
          <w:sz w:val="32"/>
          <w:szCs w:val="32"/>
        </w:rPr>
        <w:t>%，主要原因是：单位本年人员增加，相应养老保险缴费增加。</w:t>
      </w:r>
    </w:p>
    <w:p>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12.社会保障和就业支出（类）抚恤（款）伤残抚恤（项）:支出决算数为17.04万元，比上年决算减少2.07万元，下降10.8</w:t>
      </w:r>
      <w:r>
        <w:rPr>
          <w:rFonts w:hint="eastAsia" w:ascii="仿宋_GB2312" w:eastAsia="仿宋_GB2312"/>
          <w:sz w:val="32"/>
          <w:szCs w:val="32"/>
          <w:lang w:val="en-US" w:eastAsia="zh-CN"/>
        </w:rPr>
        <w:t>3</w:t>
      </w:r>
      <w:r>
        <w:rPr>
          <w:rFonts w:hint="eastAsia" w:ascii="仿宋_GB2312" w:eastAsia="仿宋_GB2312"/>
          <w:sz w:val="32"/>
          <w:szCs w:val="32"/>
        </w:rPr>
        <w:t>%，主要原因是：单位本年地方伤残人员伤残补助项目经费减少。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13.社会保障和就业支出（类）退役安置（款）其他退役安置支出（项）:支出决算数为157.40万元，比上年决算增加157.40万元，增长100%，主要原因是：增加退役士兵一次性经济补助金。</w:t>
      </w:r>
    </w:p>
    <w:p>
      <w:pPr>
        <w:ind w:firstLine="640" w:firstLineChars="200"/>
        <w:jc w:val="left"/>
        <w:rPr>
          <w:rFonts w:ascii="仿宋_GB2312" w:eastAsia="仿宋_GB2312"/>
          <w:sz w:val="32"/>
          <w:szCs w:val="32"/>
        </w:rPr>
      </w:pPr>
      <w:r>
        <w:rPr>
          <w:rFonts w:hint="eastAsia" w:ascii="仿宋_GB2312" w:eastAsia="仿宋_GB2312"/>
          <w:sz w:val="32"/>
          <w:szCs w:val="32"/>
        </w:rPr>
        <w:t>14.社会保障和就业支出（类）人力资源和社会保障管理事务（款）行政运行（项）:支出决算数为6.75万元，比上年决算增加6.75万元，增长100%，主要原因是：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增加双拥工作办公</w:t>
      </w:r>
      <w:r>
        <w:rPr>
          <w:rFonts w:hint="eastAsia" w:ascii="仿宋_GB2312" w:eastAsia="仿宋_GB2312"/>
          <w:sz w:val="32"/>
          <w:szCs w:val="32"/>
          <w:lang w:val="en-US" w:eastAsia="zh-CN"/>
        </w:rPr>
        <w:t>项目</w:t>
      </w:r>
      <w:r>
        <w:rPr>
          <w:rFonts w:hint="eastAsia" w:ascii="仿宋_GB2312" w:eastAsia="仿宋_GB2312"/>
          <w:sz w:val="32"/>
          <w:szCs w:val="32"/>
        </w:rPr>
        <w:t>经费。</w:t>
      </w:r>
    </w:p>
    <w:p>
      <w:pPr>
        <w:ind w:firstLine="640" w:firstLineChars="200"/>
        <w:jc w:val="left"/>
        <w:rPr>
          <w:rFonts w:ascii="仿宋_GB2312" w:eastAsia="仿宋_GB2312"/>
          <w:sz w:val="32"/>
          <w:szCs w:val="32"/>
        </w:rPr>
      </w:pPr>
      <w:r>
        <w:rPr>
          <w:rFonts w:hint="eastAsia" w:ascii="仿宋_GB2312" w:eastAsia="仿宋_GB2312"/>
          <w:sz w:val="32"/>
          <w:szCs w:val="32"/>
        </w:rPr>
        <w:t>15.其他支出（类）其他支出（款）其他支出（项）:支出决算数为5.00万元，比上年决算增加4.51万元，增长9</w:t>
      </w:r>
      <w:r>
        <w:rPr>
          <w:rFonts w:hint="eastAsia" w:ascii="仿宋_GB2312" w:eastAsia="仿宋_GB2312"/>
          <w:sz w:val="32"/>
          <w:szCs w:val="32"/>
          <w:lang w:val="en-US" w:eastAsia="zh-CN"/>
        </w:rPr>
        <w:t>20.41</w:t>
      </w:r>
      <w:r>
        <w:rPr>
          <w:rFonts w:hint="eastAsia" w:ascii="仿宋_GB2312" w:eastAsia="仿宋_GB2312"/>
          <w:sz w:val="32"/>
          <w:szCs w:val="32"/>
        </w:rPr>
        <w:t>%，主要原因是：本年增加为民办实事社区工作经费。</w:t>
      </w:r>
    </w:p>
    <w:p>
      <w:pPr>
        <w:ind w:firstLine="640" w:firstLineChars="200"/>
        <w:jc w:val="left"/>
        <w:rPr>
          <w:rFonts w:ascii="仿宋_GB2312" w:eastAsia="仿宋_GB2312"/>
          <w:sz w:val="32"/>
          <w:szCs w:val="32"/>
        </w:rPr>
      </w:pPr>
      <w:r>
        <w:rPr>
          <w:rFonts w:hint="eastAsia" w:ascii="仿宋_GB2312" w:eastAsia="仿宋_GB2312"/>
          <w:sz w:val="32"/>
          <w:szCs w:val="32"/>
        </w:rPr>
        <w:t>16.社会保障和就业支出（类）退役安置（款）军队移交政府的离退休人员安置（项）:支出决算数为0.00万元，比上年决算减少20.98万元，下降100%，主要原因是：单位本年减少安置军休人员、无军籍干部补助资金。</w:t>
      </w:r>
    </w:p>
    <w:p>
      <w:pPr>
        <w:ind w:firstLine="640" w:firstLineChars="200"/>
        <w:jc w:val="left"/>
        <w:rPr>
          <w:rFonts w:ascii="仿宋_GB2312" w:eastAsia="仿宋_GB2312"/>
          <w:sz w:val="32"/>
          <w:szCs w:val="32"/>
        </w:rPr>
      </w:pPr>
      <w:r>
        <w:rPr>
          <w:rFonts w:hint="eastAsia" w:ascii="仿宋_GB2312" w:eastAsia="仿宋_GB2312"/>
          <w:sz w:val="32"/>
          <w:szCs w:val="32"/>
        </w:rPr>
        <w:t>17.社会保障和就业支出（类）其他社会保障和就业支出（款）其他社会保障和就业支出（项）:支出决算数为0.00万元，比上年决算减少5.00万元，下降100%，主要原因是：单位本年减少生活困难军转干生活补助慰问金。</w:t>
      </w:r>
    </w:p>
    <w:p>
      <w:pPr>
        <w:ind w:firstLine="640" w:firstLineChars="200"/>
        <w:jc w:val="left"/>
        <w:rPr>
          <w:rFonts w:ascii="仿宋_GB2312" w:eastAsia="仿宋_GB2312"/>
          <w:sz w:val="32"/>
          <w:szCs w:val="32"/>
        </w:rPr>
      </w:pPr>
      <w:r>
        <w:rPr>
          <w:rFonts w:hint="eastAsia" w:ascii="仿宋_GB2312" w:eastAsia="仿宋_GB2312"/>
          <w:sz w:val="32"/>
          <w:szCs w:val="32"/>
        </w:rPr>
        <w:t>18.卫生健康支出（类）优抚对象医疗（款）优抚对象医疗补助（项）:支出决算数为0.00万元，比上年决算减少4.30万元，下降100%，主要原因是：单位本年减少重点优抚对象医疗费资金。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134.60万元，其中：人员经费125.53万元，包括：基本工资、津贴补贴、奖金、机关事业单位基本养老保险缴费、职工基本医疗保险缴费、公务员医疗补助缴费、其他社会保障缴费、住房公积金、其他工资福利支出、生活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公用经费9.07万元，包括：办公费、取暖费。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减少0.30万元，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车辆出行次数减少，车辆燃油费、运行费减少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主要原因是：本年单位无此项经费；公务用车购置及运行维护费支出0.00万元，占0.00%，比上年减少0.30万元，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车辆出行次数减少，车辆燃油费、运行费减少</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原因是：差异车辆为一般业务用车1辆，车辆费用未使用财政拨款公务用车运行维护费支付。</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2023年度木垒哈萨克自治县退役军人事务局（行政单位和参照公务员法管理事业单位）机关运行经费支出9.07万元，比上年增加7.56万元，增长500.66%，主要原因是：单位本年办公费、取暖费增加。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2023年度政府采购支出总额26.59万元，其中：政府采购货物支出5.64万元、政府采购工程支出2.25万元、政府采购服务支出18.70万元。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授予中小企业合同金额26.59万元，占政府采购支出总额的100.00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，其中：授予小微企业合同金额26.59万元，占政府采购支出总额的100.00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36.88万元，房屋0.00方米，价值0.00万元。车辆1辆，价值6.90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1,392.79</w:t>
      </w:r>
      <w:r>
        <w:rPr>
          <w:rFonts w:hint="eastAsia" w:ascii="仿宋_GB2312" w:eastAsia="仿宋_GB2312"/>
          <w:sz w:val="32"/>
          <w:szCs w:val="32"/>
        </w:rPr>
        <w:t>万元，实际执行总额</w:t>
      </w:r>
      <w:r>
        <w:rPr>
          <w:rFonts w:ascii="仿宋_GB2312" w:eastAsia="仿宋_GB2312"/>
          <w:sz w:val="32"/>
          <w:szCs w:val="32"/>
        </w:rPr>
        <w:t>1,392.76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预算绩效评价项目1个，全年预算数248.14万元，全年执行数</w:t>
      </w:r>
      <w:r>
        <w:rPr>
          <w:rFonts w:ascii="仿宋_GB2312" w:eastAsia="仿宋_GB2312"/>
          <w:sz w:val="32"/>
          <w:szCs w:val="32"/>
        </w:rPr>
        <w:t>248.14</w:t>
      </w:r>
      <w:r>
        <w:rPr>
          <w:rFonts w:hint="eastAsia" w:ascii="仿宋_GB2312" w:eastAsia="仿宋_GB2312"/>
          <w:sz w:val="32"/>
          <w:szCs w:val="32"/>
        </w:rPr>
        <w:t>万元。预算绩效管理取得的成效：一是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结合我单位实际情</w:t>
      </w:r>
      <w:r>
        <w:rPr>
          <w:rFonts w:hint="eastAsia" w:ascii="仿宋_GB2312" w:hAnsi="宋体" w:eastAsia="仿宋_GB2312"/>
          <w:bCs/>
          <w:sz w:val="32"/>
          <w:szCs w:val="32"/>
          <w:lang w:val="en-US" w:eastAsia="zh-CN"/>
        </w:rPr>
        <w:t>况</w:t>
      </w:r>
      <w:r>
        <w:rPr>
          <w:rFonts w:hint="eastAsia" w:ascii="仿宋_GB2312" w:hAnsi="宋体" w:eastAsia="仿宋_GB2312"/>
          <w:bCs/>
          <w:sz w:val="32"/>
          <w:szCs w:val="32"/>
        </w:rPr>
        <w:t>合理分配资金，以达到合理高效地运用资金、提升资金的产出效果、节约成本与资源、提高部门的办事效率的目的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在预算执行和绩效目标编制上依然有欠缺，绩效目标设立不够明确、细化和量化，对绩效分析也不够透彻</w:t>
      </w:r>
      <w:r>
        <w:rPr>
          <w:rFonts w:hint="eastAsia" w:ascii="仿宋_GB2312" w:eastAsia="仿宋_GB2312"/>
          <w:sz w:val="32"/>
          <w:szCs w:val="32"/>
        </w:rPr>
        <w:t>；二是</w:t>
      </w:r>
      <w:r>
        <w:rPr>
          <w:rFonts w:hint="eastAsia" w:ascii="仿宋_GB2312" w:hAnsi="宋体" w:eastAsia="仿宋_GB2312"/>
          <w:bCs/>
          <w:sz w:val="32"/>
          <w:szCs w:val="32"/>
        </w:rPr>
        <w:t>对预算执行和绩效监控重视力度不够</w:t>
      </w:r>
      <w:r>
        <w:rPr>
          <w:rFonts w:hint="eastAsia" w:ascii="仿宋_GB2312" w:eastAsia="仿宋_GB2312"/>
          <w:sz w:val="32"/>
          <w:szCs w:val="32"/>
        </w:rPr>
        <w:t>。下一步改进措施：一是</w:t>
      </w:r>
      <w:r>
        <w:rPr>
          <w:rFonts w:hint="eastAsia" w:ascii="仿宋_GB2312" w:hAnsi="宋体" w:eastAsia="仿宋_GB2312"/>
          <w:bCs/>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Pr>
          <w:rFonts w:hint="eastAsia" w:ascii="仿宋_GB2312" w:eastAsia="仿宋_GB2312"/>
          <w:sz w:val="32"/>
          <w:szCs w:val="32"/>
        </w:rPr>
        <w:t>；二是</w:t>
      </w:r>
      <w:r>
        <w:rPr>
          <w:rFonts w:hint="eastAsia" w:ascii="仿宋_GB2312" w:hAnsi="宋体" w:eastAsia="仿宋_GB2312"/>
          <w:bCs/>
          <w:sz w:val="32"/>
          <w:szCs w:val="32"/>
        </w:rPr>
        <w:t>大力强化宣传，加强政策学习，提高思想认识，提高预算执行和绩效监控认同感，首先要从部门实际入手，进行深刻剖析，分析预算执行和实施绩效监控的重要性和意义，努力提高自身的业务水平</w:t>
      </w:r>
      <w:r>
        <w:rPr>
          <w:rFonts w:hint="eastAsia" w:ascii="仿宋_GB2312" w:eastAsia="仿宋_GB2312"/>
          <w:sz w:val="32"/>
          <w:szCs w:val="32"/>
        </w:rPr>
        <w:t>。具体项目自评情况附绩效自评表及自评报告。</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9"/>
        <w:gridCol w:w="1340"/>
        <w:gridCol w:w="1275"/>
        <w:gridCol w:w="1280"/>
        <w:gridCol w:w="1416"/>
        <w:gridCol w:w="850"/>
        <w:gridCol w:w="706"/>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8522" w:type="dxa"/>
            <w:gridSpan w:val="8"/>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522" w:type="dxa"/>
            <w:gridSpan w:val="8"/>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179" w:type="dxa"/>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343" w:type="dxa"/>
            <w:gridSpan w:val="7"/>
            <w:shd w:val="clear" w:color="auto" w:fill="auto"/>
            <w:noWrap/>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木垒哈萨克自治</w:t>
            </w:r>
            <w:r>
              <w:rPr>
                <w:rFonts w:hint="eastAsia" w:ascii="宋体" w:hAnsi="宋体" w:cs="宋体"/>
                <w:kern w:val="0"/>
                <w:sz w:val="20"/>
                <w:szCs w:val="20"/>
                <w:lang w:eastAsia="zh-CN"/>
              </w:rPr>
              <w:t>县退役军人事务局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179"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34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27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8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275"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312.43</w:t>
            </w:r>
          </w:p>
        </w:tc>
        <w:tc>
          <w:tcPr>
            <w:tcW w:w="1280"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360.24</w:t>
            </w:r>
          </w:p>
        </w:tc>
        <w:tc>
          <w:tcPr>
            <w:tcW w:w="1416"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360.24</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275"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256.96</w:t>
            </w:r>
          </w:p>
        </w:tc>
        <w:tc>
          <w:tcPr>
            <w:tcW w:w="1280"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274.46</w:t>
            </w:r>
          </w:p>
        </w:tc>
        <w:tc>
          <w:tcPr>
            <w:tcW w:w="1416"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274.46</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275"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280"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416"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275"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98.60</w:t>
            </w:r>
          </w:p>
        </w:tc>
        <w:tc>
          <w:tcPr>
            <w:tcW w:w="1280"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758.09</w:t>
            </w:r>
          </w:p>
        </w:tc>
        <w:tc>
          <w:tcPr>
            <w:tcW w:w="1416"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758.06</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275"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280"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416"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275"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667.99</w:t>
            </w:r>
          </w:p>
        </w:tc>
        <w:tc>
          <w:tcPr>
            <w:tcW w:w="1280"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1,392.79</w:t>
            </w:r>
          </w:p>
        </w:tc>
        <w:tc>
          <w:tcPr>
            <w:tcW w:w="1416" w:type="dxa"/>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1,392.76</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179"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895" w:type="dxa"/>
            <w:gridSpan w:val="3"/>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448" w:type="dxa"/>
            <w:gridSpan w:val="4"/>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1179" w:type="dxa"/>
            <w:vMerge w:val="continue"/>
            <w:vAlign w:val="center"/>
          </w:tcPr>
          <w:p>
            <w:pPr>
              <w:widowControl/>
              <w:jc w:val="left"/>
              <w:rPr>
                <w:rFonts w:hint="eastAsia" w:ascii="宋体" w:hAnsi="宋体" w:cs="宋体"/>
                <w:kern w:val="0"/>
                <w:sz w:val="20"/>
                <w:szCs w:val="20"/>
              </w:rPr>
            </w:pPr>
          </w:p>
        </w:tc>
        <w:tc>
          <w:tcPr>
            <w:tcW w:w="3895" w:type="dxa"/>
            <w:gridSpan w:val="3"/>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发放17名地方伤残人员伤残抚恤金，254名优抚对象生活补助，22名退役士兵一次性经济补助和高原补贴。及时做好56名军转干部、军休干部、伤残退伍军人职工医疗保险核定与缴纳。做好9个驻军部队65名重点优抚对象拥军优属工作。开展拥军优属活动2次；保障木垒县退役军人事务局圆满完成各项工作任务。</w:t>
            </w:r>
          </w:p>
        </w:tc>
        <w:tc>
          <w:tcPr>
            <w:tcW w:w="3448" w:type="dxa"/>
            <w:gridSpan w:val="4"/>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我单位已完成如下工作：保障办公人员数量8人，退役军人技能培训合格率100%。发放17名地方伤残人员伤残抚恤金，279名优抚对象1-12月生活补助，22名退役士兵一次性经济补助和高原补贴。及时做好56名军转干部、军休干部、伤残退伍军人职工医疗保险核定与缴纳。完成9个驻军部队65名重点优抚对象拥军优属工作。成功开展拥军优属活动2次；保障了木垒县退役军人事务局圆满完成各项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17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34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27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28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34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27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28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&gt;=7人</w:t>
            </w:r>
          </w:p>
        </w:tc>
        <w:tc>
          <w:tcPr>
            <w:tcW w:w="1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中共木垒县委员会办公室木垒县人民政府办公室关于印发《木垒哈萨克自治县退役军人事务局职能配置、内设机构和人员编制规定》的通知</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8人</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340"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27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退役军人技能培训合格率</w:t>
            </w:r>
          </w:p>
        </w:tc>
        <w:tc>
          <w:tcPr>
            <w:tcW w:w="128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vMerge w:val="continue"/>
            <w:vAlign w:val="center"/>
          </w:tcPr>
          <w:p>
            <w:pPr>
              <w:widowControl/>
              <w:jc w:val="left"/>
              <w:rPr>
                <w:rFonts w:hint="eastAsia" w:ascii="宋体" w:hAnsi="宋体" w:cs="宋体"/>
                <w:kern w:val="0"/>
                <w:sz w:val="20"/>
                <w:szCs w:val="20"/>
              </w:rPr>
            </w:pPr>
          </w:p>
        </w:tc>
        <w:tc>
          <w:tcPr>
            <w:tcW w:w="127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优抚对象生活补助资金到位率</w:t>
            </w:r>
          </w:p>
        </w:tc>
        <w:tc>
          <w:tcPr>
            <w:tcW w:w="128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340"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27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打造退役军人（双拥）志愿服务队数量</w:t>
            </w:r>
          </w:p>
        </w:tc>
        <w:tc>
          <w:tcPr>
            <w:tcW w:w="128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&gt;=2个</w:t>
            </w:r>
          </w:p>
        </w:tc>
        <w:tc>
          <w:tcPr>
            <w:tcW w:w="1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2个</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vMerge w:val="continue"/>
            <w:vAlign w:val="center"/>
          </w:tcPr>
          <w:p>
            <w:pPr>
              <w:widowControl/>
              <w:jc w:val="left"/>
              <w:rPr>
                <w:rFonts w:hint="eastAsia" w:ascii="宋体" w:hAnsi="宋体" w:cs="宋体"/>
                <w:kern w:val="0"/>
                <w:sz w:val="20"/>
                <w:szCs w:val="20"/>
              </w:rPr>
            </w:pPr>
          </w:p>
        </w:tc>
        <w:tc>
          <w:tcPr>
            <w:tcW w:w="127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开展拥军优属活动次数</w:t>
            </w:r>
          </w:p>
        </w:tc>
        <w:tc>
          <w:tcPr>
            <w:tcW w:w="128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1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275"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处理退役军人来信来访及接待退役军人来访率</w:t>
            </w:r>
          </w:p>
        </w:tc>
        <w:tc>
          <w:tcPr>
            <w:tcW w:w="128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1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850"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76" w:type="dxa"/>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vMerge w:val="continue"/>
            <w:vAlign w:val="center"/>
          </w:tcPr>
          <w:p>
            <w:pPr>
              <w:widowControl/>
              <w:jc w:val="left"/>
              <w:rPr>
                <w:rFonts w:hint="eastAsia" w:ascii="宋体" w:hAnsi="宋体" w:cs="宋体"/>
                <w:kern w:val="0"/>
                <w:sz w:val="20"/>
                <w:szCs w:val="20"/>
              </w:rPr>
            </w:pPr>
          </w:p>
        </w:tc>
        <w:tc>
          <w:tcPr>
            <w:tcW w:w="1275"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立功受奖送喜报到位率</w:t>
            </w:r>
          </w:p>
        </w:tc>
        <w:tc>
          <w:tcPr>
            <w:tcW w:w="128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41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85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47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vMerge w:val="continue"/>
            <w:vAlign w:val="center"/>
          </w:tcPr>
          <w:p>
            <w:pPr>
              <w:widowControl/>
              <w:jc w:val="left"/>
              <w:rPr>
                <w:rFonts w:hint="eastAsia" w:ascii="宋体" w:hAnsi="宋体" w:cs="宋体"/>
                <w:kern w:val="0"/>
                <w:sz w:val="20"/>
                <w:szCs w:val="20"/>
              </w:rPr>
            </w:pPr>
          </w:p>
        </w:tc>
        <w:tc>
          <w:tcPr>
            <w:tcW w:w="1340" w:type="dxa"/>
            <w:vMerge w:val="continue"/>
            <w:vAlign w:val="center"/>
          </w:tcPr>
          <w:p>
            <w:pPr>
              <w:widowControl/>
              <w:jc w:val="left"/>
              <w:rPr>
                <w:rFonts w:hint="eastAsia" w:ascii="宋体" w:hAnsi="宋体" w:cs="宋体"/>
                <w:kern w:val="0"/>
                <w:sz w:val="20"/>
                <w:szCs w:val="20"/>
              </w:rPr>
            </w:pPr>
          </w:p>
        </w:tc>
        <w:tc>
          <w:tcPr>
            <w:tcW w:w="1275"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打造拥军示范品牌点数量</w:t>
            </w:r>
          </w:p>
        </w:tc>
        <w:tc>
          <w:tcPr>
            <w:tcW w:w="128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&gt;=1个</w:t>
            </w:r>
          </w:p>
        </w:tc>
        <w:tc>
          <w:tcPr>
            <w:tcW w:w="141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85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1个</w:t>
            </w:r>
          </w:p>
        </w:tc>
        <w:tc>
          <w:tcPr>
            <w:tcW w:w="47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340" w:type="dxa"/>
            <w:vMerge w:val="continue"/>
            <w:vAlign w:val="center"/>
          </w:tcPr>
          <w:p>
            <w:pPr>
              <w:widowControl/>
              <w:jc w:val="left"/>
              <w:rPr>
                <w:rFonts w:hint="eastAsia" w:ascii="宋体" w:hAnsi="宋体" w:cs="宋体"/>
                <w:kern w:val="0"/>
                <w:sz w:val="20"/>
                <w:szCs w:val="20"/>
              </w:rPr>
            </w:pPr>
          </w:p>
        </w:tc>
        <w:tc>
          <w:tcPr>
            <w:tcW w:w="1275"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退役军人信访事件下降率</w:t>
            </w:r>
          </w:p>
        </w:tc>
        <w:tc>
          <w:tcPr>
            <w:tcW w:w="128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&lt;=1%</w:t>
            </w:r>
          </w:p>
        </w:tc>
        <w:tc>
          <w:tcPr>
            <w:tcW w:w="141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85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w:t>
            </w:r>
          </w:p>
        </w:tc>
        <w:tc>
          <w:tcPr>
            <w:tcW w:w="47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340" w:type="dxa"/>
            <w:vMerge w:val="continue"/>
            <w:vAlign w:val="center"/>
          </w:tcPr>
          <w:p>
            <w:pPr>
              <w:widowControl/>
              <w:jc w:val="left"/>
              <w:rPr>
                <w:rFonts w:hint="eastAsia" w:ascii="宋体" w:hAnsi="宋体" w:cs="宋体"/>
                <w:kern w:val="0"/>
                <w:sz w:val="20"/>
                <w:szCs w:val="20"/>
              </w:rPr>
            </w:pPr>
          </w:p>
        </w:tc>
        <w:tc>
          <w:tcPr>
            <w:tcW w:w="1275" w:type="dxa"/>
            <w:shd w:val="clear" w:color="auto" w:fill="auto"/>
            <w:noWrap/>
            <w:vAlign w:val="center"/>
          </w:tcPr>
          <w:p>
            <w:pPr>
              <w:widowControl/>
              <w:jc w:val="left"/>
              <w:rPr>
                <w:rFonts w:hint="eastAsia" w:ascii="宋体" w:hAnsi="宋体" w:cs="宋体"/>
                <w:kern w:val="0"/>
                <w:sz w:val="20"/>
                <w:szCs w:val="20"/>
              </w:rPr>
            </w:pPr>
          </w:p>
        </w:tc>
        <w:tc>
          <w:tcPr>
            <w:tcW w:w="1280" w:type="dxa"/>
            <w:shd w:val="clear" w:color="auto" w:fill="auto"/>
            <w:noWrap/>
            <w:vAlign w:val="center"/>
          </w:tcPr>
          <w:p>
            <w:pPr>
              <w:widowControl/>
              <w:jc w:val="left"/>
              <w:rPr>
                <w:rFonts w:hint="eastAsia" w:ascii="宋体" w:hAnsi="宋体" w:cs="宋体"/>
                <w:kern w:val="0"/>
                <w:sz w:val="20"/>
                <w:szCs w:val="20"/>
              </w:rPr>
            </w:pPr>
          </w:p>
        </w:tc>
        <w:tc>
          <w:tcPr>
            <w:tcW w:w="1416" w:type="dxa"/>
            <w:shd w:val="clear" w:color="auto" w:fill="auto"/>
            <w:noWrap/>
            <w:vAlign w:val="center"/>
          </w:tcPr>
          <w:p>
            <w:pPr>
              <w:widowControl/>
              <w:jc w:val="left"/>
              <w:rPr>
                <w:rFonts w:hint="eastAsia" w:ascii="宋体" w:hAnsi="宋体" w:cs="宋体"/>
                <w:kern w:val="0"/>
                <w:sz w:val="20"/>
                <w:szCs w:val="20"/>
              </w:rPr>
            </w:pPr>
          </w:p>
        </w:tc>
        <w:tc>
          <w:tcPr>
            <w:tcW w:w="850" w:type="dxa"/>
            <w:shd w:val="clear" w:color="auto" w:fill="auto"/>
            <w:noWrap/>
            <w:vAlign w:val="center"/>
          </w:tcPr>
          <w:p>
            <w:pPr>
              <w:widowControl/>
              <w:jc w:val="left"/>
              <w:rPr>
                <w:rFonts w:hint="eastAsia" w:ascii="宋体" w:hAnsi="宋体" w:cs="宋体"/>
                <w:kern w:val="0"/>
                <w:sz w:val="20"/>
                <w:szCs w:val="20"/>
              </w:rPr>
            </w:pPr>
          </w:p>
        </w:tc>
        <w:tc>
          <w:tcPr>
            <w:tcW w:w="706" w:type="dxa"/>
            <w:shd w:val="clear" w:color="auto" w:fill="auto"/>
            <w:noWrap/>
            <w:vAlign w:val="center"/>
          </w:tcPr>
          <w:p>
            <w:pPr>
              <w:widowControl/>
              <w:jc w:val="left"/>
              <w:rPr>
                <w:rFonts w:hint="eastAsia" w:ascii="宋体" w:hAnsi="宋体" w:cs="宋体"/>
                <w:kern w:val="0"/>
                <w:sz w:val="20"/>
                <w:szCs w:val="20"/>
              </w:rPr>
            </w:pPr>
          </w:p>
        </w:tc>
        <w:tc>
          <w:tcPr>
            <w:tcW w:w="476" w:type="dxa"/>
            <w:shd w:val="clear" w:color="auto" w:fill="auto"/>
            <w:noWrap/>
            <w:vAlign w:val="center"/>
          </w:tcPr>
          <w:p>
            <w:pPr>
              <w:widowControl/>
              <w:jc w:val="left"/>
              <w:rPr>
                <w:rFonts w:hint="eastAsia"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179"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340" w:type="dxa"/>
            <w:vMerge w:val="continue"/>
            <w:vAlign w:val="center"/>
          </w:tcPr>
          <w:p>
            <w:pPr>
              <w:widowControl/>
              <w:jc w:val="left"/>
              <w:rPr>
                <w:rFonts w:hint="eastAsia" w:ascii="宋体" w:hAnsi="宋体" w:cs="宋体"/>
                <w:kern w:val="0"/>
                <w:sz w:val="20"/>
                <w:szCs w:val="20"/>
              </w:rPr>
            </w:pPr>
          </w:p>
        </w:tc>
        <w:tc>
          <w:tcPr>
            <w:tcW w:w="1275"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退役士兵满意度</w:t>
            </w:r>
          </w:p>
        </w:tc>
        <w:tc>
          <w:tcPr>
            <w:tcW w:w="128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1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850"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476" w:type="dxa"/>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479"/>
        <w:gridCol w:w="479"/>
        <w:gridCol w:w="838"/>
        <w:gridCol w:w="707"/>
        <w:gridCol w:w="1043"/>
        <w:gridCol w:w="666"/>
        <w:gridCol w:w="817"/>
        <w:gridCol w:w="720"/>
        <w:gridCol w:w="274"/>
        <w:gridCol w:w="285"/>
        <w:gridCol w:w="355"/>
        <w:gridCol w:w="436"/>
        <w:gridCol w:w="480"/>
        <w:gridCol w:w="720"/>
      </w:tblGrid>
      <w:tr>
        <w:tblPrEx>
          <w:tblLayout w:type="fixed"/>
          <w:tblCellMar>
            <w:top w:w="0" w:type="dxa"/>
            <w:left w:w="108" w:type="dxa"/>
            <w:bottom w:w="0" w:type="dxa"/>
            <w:right w:w="108" w:type="dxa"/>
          </w:tblCellMar>
        </w:tblPrEx>
        <w:trPr>
          <w:trHeight w:val="405"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7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Layout w:type="fixed"/>
          <w:tblCellMar>
            <w:top w:w="0" w:type="dxa"/>
            <w:left w:w="108" w:type="dxa"/>
            <w:bottom w:w="0" w:type="dxa"/>
            <w:right w:w="108" w:type="dxa"/>
          </w:tblCellMar>
        </w:tblPrEx>
        <w:trPr>
          <w:trHeight w:val="270" w:hRule="atLeast"/>
        </w:trPr>
        <w:tc>
          <w:tcPr>
            <w:tcW w:w="9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项目名称</w:t>
            </w:r>
          </w:p>
        </w:tc>
        <w:tc>
          <w:tcPr>
            <w:tcW w:w="7341"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优抚对象补助经费预算（第二批）</w:t>
            </w:r>
          </w:p>
        </w:tc>
      </w:tr>
      <w:tr>
        <w:tblPrEx>
          <w:tblLayout w:type="fixed"/>
          <w:tblCellMar>
            <w:top w:w="0" w:type="dxa"/>
            <w:left w:w="108" w:type="dxa"/>
            <w:bottom w:w="0" w:type="dxa"/>
            <w:right w:w="108" w:type="dxa"/>
          </w:tblCellMar>
        </w:tblPrEx>
        <w:trPr>
          <w:trHeight w:val="270" w:hRule="atLeast"/>
        </w:trPr>
        <w:tc>
          <w:tcPr>
            <w:tcW w:w="9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主管部门</w:t>
            </w:r>
          </w:p>
        </w:tc>
        <w:tc>
          <w:tcPr>
            <w:tcW w:w="407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木垒哈萨克自治</w:t>
            </w:r>
            <w:r>
              <w:rPr>
                <w:rFonts w:hint="eastAsia" w:ascii="宋体" w:hAnsi="宋体" w:cs="宋体"/>
                <w:kern w:val="0"/>
                <w:sz w:val="20"/>
                <w:szCs w:val="20"/>
                <w:lang w:eastAsia="zh-CN"/>
              </w:rPr>
              <w:t>县退役军人事务局</w:t>
            </w:r>
          </w:p>
        </w:tc>
        <w:tc>
          <w:tcPr>
            <w:tcW w:w="9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实施单位</w:t>
            </w:r>
          </w:p>
        </w:tc>
        <w:tc>
          <w:tcPr>
            <w:tcW w:w="227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木垒哈萨克自治</w:t>
            </w:r>
            <w:r>
              <w:rPr>
                <w:rFonts w:hint="eastAsia" w:ascii="宋体" w:hAnsi="宋体" w:cs="宋体"/>
                <w:kern w:val="0"/>
                <w:sz w:val="20"/>
                <w:szCs w:val="20"/>
                <w:lang w:eastAsia="zh-CN"/>
              </w:rPr>
              <w:t>县退役军人事务局</w:t>
            </w:r>
          </w:p>
        </w:tc>
      </w:tr>
      <w:tr>
        <w:tblPrEx>
          <w:tblLayout w:type="fixed"/>
          <w:tblCellMar>
            <w:top w:w="0" w:type="dxa"/>
            <w:left w:w="108" w:type="dxa"/>
            <w:bottom w:w="0" w:type="dxa"/>
            <w:right w:w="108" w:type="dxa"/>
          </w:tblCellMar>
        </w:tblPrEx>
        <w:trPr>
          <w:trHeight w:val="480" w:hRule="atLeast"/>
        </w:trPr>
        <w:tc>
          <w:tcPr>
            <w:tcW w:w="9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项目资金</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9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439" w:hRule="atLeast"/>
        </w:trPr>
        <w:tc>
          <w:tcPr>
            <w:tcW w:w="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年度资金总额</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215.00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248.14</w:t>
            </w:r>
          </w:p>
        </w:tc>
        <w:tc>
          <w:tcPr>
            <w:tcW w:w="9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248.14</w:t>
            </w:r>
          </w:p>
        </w:tc>
        <w:tc>
          <w:tcPr>
            <w:tcW w:w="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10.00</w:t>
            </w:r>
          </w:p>
        </w:tc>
      </w:tr>
      <w:tr>
        <w:tblPrEx>
          <w:tblLayout w:type="fixed"/>
          <w:tblCellMar>
            <w:top w:w="0" w:type="dxa"/>
            <w:left w:w="108" w:type="dxa"/>
            <w:bottom w:w="0" w:type="dxa"/>
            <w:right w:w="108" w:type="dxa"/>
          </w:tblCellMar>
        </w:tblPrEx>
        <w:trPr>
          <w:trHeight w:val="439" w:hRule="atLeast"/>
        </w:trPr>
        <w:tc>
          <w:tcPr>
            <w:tcW w:w="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其中：当年财政拨款</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215.00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248.14</w:t>
            </w:r>
          </w:p>
        </w:tc>
        <w:tc>
          <w:tcPr>
            <w:tcW w:w="9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248.14</w:t>
            </w:r>
          </w:p>
        </w:tc>
        <w:tc>
          <w:tcPr>
            <w:tcW w:w="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439" w:hRule="atLeast"/>
        </w:trPr>
        <w:tc>
          <w:tcPr>
            <w:tcW w:w="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  其他资金</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9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270" w:hRule="atLeast"/>
        </w:trPr>
        <w:tc>
          <w:tcPr>
            <w:tcW w:w="47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455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27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550"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优抚对象补助资金主要用于保障优抚对象的生活水平不低于当地居民的平均生活水平，解决优抚对象生活困难的问题。按标准、按要求及时足额发放抚恤补助金。这项保障措施，可以促进社会公平，切实维护好全区优抚对象的生活权益，为我们优抚对象提供服务和帮助，充分发挥了拥军优属的光荣传统。对聚焦总目标，维护新疆社会稳定和长治久安有着特殊的重要作用。</w:t>
            </w:r>
          </w:p>
        </w:tc>
        <w:tc>
          <w:tcPr>
            <w:tcW w:w="327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截止2023年12月31日，该项目已完成279名优抚对象2023年1-12月优抚抚恤和生活补助发放工作，补助优抚对象人数279人，优抚对象补助种类13类。推动了优抚对象的生活水平不低于当地居民的平均生活水平，解决了487.43万元生活补助问题，改善了优抚对象生活质量，达到预期目标。</w:t>
            </w:r>
          </w:p>
        </w:tc>
      </w:tr>
      <w:tr>
        <w:tblPrEx>
          <w:tblLayout w:type="fixed"/>
          <w:tblCellMar>
            <w:top w:w="0" w:type="dxa"/>
            <w:left w:w="108" w:type="dxa"/>
            <w:bottom w:w="0" w:type="dxa"/>
            <w:right w:w="108" w:type="dxa"/>
          </w:tblCellMar>
        </w:tblPrEx>
        <w:trPr>
          <w:trHeight w:val="312" w:hRule="atLeast"/>
        </w:trPr>
        <w:tc>
          <w:tcPr>
            <w:tcW w:w="47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47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24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8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年度指标值</w:t>
            </w:r>
          </w:p>
        </w:tc>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实际完成值</w:t>
            </w:r>
          </w:p>
        </w:tc>
        <w:tc>
          <w:tcPr>
            <w:tcW w:w="5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79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c>
          <w:tcPr>
            <w:tcW w:w="12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2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5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79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年度绩效指标完成情况</w:t>
            </w:r>
          </w:p>
        </w:tc>
        <w:tc>
          <w:tcPr>
            <w:tcW w:w="47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补助优抚对象人数</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&gt;=254人</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=279人</w:t>
            </w: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9.1</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优抚对象补助种类</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=13类</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=13类</w:t>
            </w: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补助发放准确率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补助标准执行率（%）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优抚对象经费发放及时率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人均补助标准</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&lt;=1520元/月</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=1520元/月</w:t>
            </w: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社会成本指标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优抚对象投诉率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生态环境成本指标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经济效益指标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优抚对象基本生活保障率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生态效益指标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4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优抚对象满意度</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5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270" w:hRule="atLeast"/>
        </w:trPr>
        <w:tc>
          <w:tcPr>
            <w:tcW w:w="574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总分</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99.1分</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CF6DD0"/>
    <w:rsid w:val="000B527A"/>
    <w:rsid w:val="000D0A88"/>
    <w:rsid w:val="001248EF"/>
    <w:rsid w:val="001635D8"/>
    <w:rsid w:val="00213C59"/>
    <w:rsid w:val="002454E7"/>
    <w:rsid w:val="002C5A4E"/>
    <w:rsid w:val="003210CE"/>
    <w:rsid w:val="003255E3"/>
    <w:rsid w:val="003312FB"/>
    <w:rsid w:val="0044436A"/>
    <w:rsid w:val="0045190D"/>
    <w:rsid w:val="004A7024"/>
    <w:rsid w:val="005236AE"/>
    <w:rsid w:val="00597FF9"/>
    <w:rsid w:val="0066132C"/>
    <w:rsid w:val="006B18DE"/>
    <w:rsid w:val="007A679A"/>
    <w:rsid w:val="007E014A"/>
    <w:rsid w:val="0081398E"/>
    <w:rsid w:val="00960BB6"/>
    <w:rsid w:val="009610C1"/>
    <w:rsid w:val="009850C6"/>
    <w:rsid w:val="00A06D96"/>
    <w:rsid w:val="00AC4674"/>
    <w:rsid w:val="00AD0F25"/>
    <w:rsid w:val="00B43900"/>
    <w:rsid w:val="00B70D59"/>
    <w:rsid w:val="00B74691"/>
    <w:rsid w:val="00C032BF"/>
    <w:rsid w:val="00C500EE"/>
    <w:rsid w:val="00CF6DD0"/>
    <w:rsid w:val="00D27261"/>
    <w:rsid w:val="00D52DC9"/>
    <w:rsid w:val="00D61ABB"/>
    <w:rsid w:val="00D61E01"/>
    <w:rsid w:val="00E11A06"/>
    <w:rsid w:val="00E318F6"/>
    <w:rsid w:val="00F26753"/>
    <w:rsid w:val="00F3668B"/>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D2450E"/>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0B1DCD"/>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BF4401"/>
    <w:rsid w:val="2CC206BE"/>
    <w:rsid w:val="2CFB7A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7959</Words>
  <Characters>9115</Characters>
  <Lines>74</Lines>
  <Paragraphs>20</Paragraphs>
  <TotalTime>0</TotalTime>
  <ScaleCrop>false</ScaleCrop>
  <LinksUpToDate>false</LinksUpToDate>
  <CharactersWithSpaces>9127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2025-04-23T02:33:54Z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